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35" w:after="135" w:line="600" w:lineRule="exact"/>
        <w:jc w:val="both"/>
        <w:rPr>
          <w:rFonts w:hint="eastAsia" w:ascii="仿宋_GB2312" w:hAnsi="黑体" w:eastAsia="仿宋_GB2312" w:cs="宋体"/>
          <w:b/>
          <w:bCs/>
          <w:color w:val="2D0201"/>
          <w:kern w:val="0"/>
          <w:sz w:val="32"/>
          <w:szCs w:val="32"/>
        </w:rPr>
      </w:pPr>
      <w:r>
        <w:rPr>
          <w:rFonts w:hint="eastAsia" w:ascii="宋体" w:hAnsi="宋体" w:eastAsia="宋体" w:cs="宋体"/>
          <w:b/>
          <w:bCs/>
          <w:color w:val="2D0201"/>
          <w:kern w:val="0"/>
          <w:sz w:val="32"/>
          <w:szCs w:val="32"/>
        </w:rPr>
        <w:t> </w:t>
      </w:r>
      <w:r>
        <w:rPr>
          <w:rFonts w:hint="eastAsia" w:ascii="仿宋_GB2312" w:hAnsi="黑体" w:eastAsia="仿宋_GB2312" w:cs="宋体"/>
          <w:b/>
          <w:bCs/>
          <w:color w:val="2D0201"/>
          <w:kern w:val="0"/>
          <w:sz w:val="32"/>
          <w:szCs w:val="32"/>
        </w:rPr>
        <w:t>附件2</w:t>
      </w:r>
    </w:p>
    <w:p>
      <w:pPr>
        <w:widowControl/>
        <w:shd w:val="clear" w:color="auto" w:fill="FFFFFF"/>
        <w:spacing w:before="135" w:after="135" w:line="600" w:lineRule="exact"/>
        <w:jc w:val="both"/>
        <w:rPr>
          <w:rFonts w:hint="eastAsia" w:ascii="仿宋_GB2312" w:hAnsi="黑体" w:eastAsia="仿宋_GB2312" w:cs="宋体"/>
          <w:b/>
          <w:bCs/>
          <w:color w:val="2D0201"/>
          <w:kern w:val="0"/>
          <w:sz w:val="32"/>
          <w:szCs w:val="32"/>
        </w:rPr>
      </w:pPr>
    </w:p>
    <w:p>
      <w:pPr>
        <w:widowControl/>
        <w:shd w:val="clear" w:color="auto" w:fill="FFFFFF"/>
        <w:spacing w:before="135" w:line="600" w:lineRule="exact"/>
        <w:jc w:val="center"/>
        <w:rPr>
          <w:rFonts w:ascii="黑体" w:hAnsi="黑体" w:eastAsia="黑体" w:cs="宋体"/>
          <w:bCs/>
          <w:color w:val="2D0201"/>
          <w:kern w:val="0"/>
          <w:sz w:val="32"/>
          <w:szCs w:val="32"/>
        </w:rPr>
      </w:pPr>
      <w:r>
        <w:rPr>
          <w:rFonts w:hint="eastAsia" w:ascii="黑体" w:hAnsi="黑体" w:eastAsia="黑体" w:cs="宋体"/>
          <w:bCs/>
          <w:color w:val="2D0201"/>
          <w:kern w:val="0"/>
          <w:sz w:val="44"/>
          <w:szCs w:val="44"/>
        </w:rPr>
        <w:t>各专业类别注册安全工程师执业行业</w:t>
      </w:r>
      <w:r>
        <w:rPr>
          <w:rFonts w:hint="default" w:ascii="黑体" w:hAnsi="黑体" w:eastAsia="黑体" w:cs="宋体"/>
          <w:bCs/>
          <w:color w:val="2D0201"/>
          <w:kern w:val="0"/>
          <w:sz w:val="44"/>
          <w:szCs w:val="44"/>
        </w:rPr>
        <w:t xml:space="preserve">    </w:t>
      </w:r>
      <w:r>
        <w:rPr>
          <w:rFonts w:hint="eastAsia" w:ascii="黑体" w:hAnsi="黑体" w:eastAsia="黑体" w:cs="宋体"/>
          <w:bCs/>
          <w:color w:val="2D0201"/>
          <w:kern w:val="0"/>
          <w:sz w:val="44"/>
          <w:szCs w:val="44"/>
        </w:rPr>
        <w:t>界定表</w:t>
      </w:r>
    </w:p>
    <w:tbl>
      <w:tblPr>
        <w:tblStyle w:val="6"/>
        <w:tblW w:w="0" w:type="auto"/>
        <w:tblInd w:w="0" w:type="dxa"/>
        <w:tblLayout w:type="fixed"/>
        <w:tblCellMar>
          <w:top w:w="0" w:type="dxa"/>
          <w:left w:w="0" w:type="dxa"/>
          <w:bottom w:w="0" w:type="dxa"/>
          <w:right w:w="0" w:type="dxa"/>
        </w:tblCellMar>
      </w:tblPr>
      <w:tblGrid>
        <w:gridCol w:w="630"/>
        <w:gridCol w:w="2780"/>
        <w:gridCol w:w="4820"/>
      </w:tblGrid>
      <w:tr>
        <w:tblPrEx>
          <w:tblCellMar>
            <w:top w:w="0" w:type="dxa"/>
            <w:left w:w="0" w:type="dxa"/>
            <w:bottom w:w="0" w:type="dxa"/>
            <w:right w:w="0" w:type="dxa"/>
          </w:tblCellMar>
        </w:tblPrEx>
        <w:trPr>
          <w:trHeight w:val="737" w:hRule="exact"/>
        </w:trPr>
        <w:tc>
          <w:tcPr>
            <w:tcW w:w="630" w:type="dxa"/>
            <w:tcBorders>
              <w:top w:val="single" w:color="190B16" w:sz="6" w:space="0"/>
              <w:left w:val="single" w:color="190B16" w:sz="6" w:space="0"/>
              <w:bottom w:val="single" w:color="190B16" w:sz="6" w:space="0"/>
              <w:right w:val="single" w:color="190B16" w:sz="6" w:space="0"/>
            </w:tcBorders>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b/>
                <w:bCs/>
                <w:color w:val="190B16"/>
                <w:kern w:val="0"/>
                <w:sz w:val="20"/>
                <w:szCs w:val="20"/>
              </w:rPr>
              <w:t>序号</w:t>
            </w:r>
          </w:p>
        </w:tc>
        <w:tc>
          <w:tcPr>
            <w:tcW w:w="2780" w:type="dxa"/>
            <w:tcBorders>
              <w:top w:val="single" w:color="190B16" w:sz="6" w:space="0"/>
              <w:left w:val="nil"/>
              <w:bottom w:val="single" w:color="auto" w:sz="4" w:space="0"/>
              <w:right w:val="single" w:color="190B16" w:sz="6" w:space="0"/>
            </w:tcBorders>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b/>
                <w:bCs/>
                <w:color w:val="190B16"/>
                <w:kern w:val="0"/>
                <w:sz w:val="20"/>
                <w:szCs w:val="20"/>
              </w:rPr>
              <w:t>专业类别</w:t>
            </w:r>
          </w:p>
        </w:tc>
        <w:tc>
          <w:tcPr>
            <w:tcW w:w="4820" w:type="dxa"/>
            <w:tcBorders>
              <w:top w:val="single" w:color="190B16" w:sz="6" w:space="0"/>
              <w:left w:val="nil"/>
              <w:bottom w:val="single" w:color="190B16" w:sz="6" w:space="0"/>
              <w:right w:val="single" w:color="190B16" w:sz="6" w:space="0"/>
            </w:tcBorders>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b/>
                <w:bCs/>
                <w:color w:val="190B16"/>
                <w:kern w:val="0"/>
                <w:sz w:val="20"/>
                <w:szCs w:val="20"/>
              </w:rPr>
              <w:t>执业行业</w:t>
            </w:r>
          </w:p>
        </w:tc>
      </w:tr>
      <w:tr>
        <w:tblPrEx>
          <w:tblCellMar>
            <w:top w:w="0" w:type="dxa"/>
            <w:left w:w="0" w:type="dxa"/>
            <w:bottom w:w="0" w:type="dxa"/>
            <w:right w:w="0" w:type="dxa"/>
          </w:tblCellMar>
        </w:tblPrEx>
        <w:trPr>
          <w:trHeight w:val="737" w:hRule="exact"/>
        </w:trPr>
        <w:tc>
          <w:tcPr>
            <w:tcW w:w="630" w:type="dxa"/>
            <w:tcBorders>
              <w:top w:val="nil"/>
              <w:left w:val="single" w:color="190B16" w:sz="6" w:space="0"/>
              <w:bottom w:val="single" w:color="190B16" w:sz="6" w:space="0"/>
              <w:right w:val="single" w:color="190B16" w:sz="6" w:space="0"/>
            </w:tcBorders>
            <w:vAlign w:val="center"/>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1</w:t>
            </w:r>
          </w:p>
        </w:tc>
        <w:tc>
          <w:tcPr>
            <w:tcW w:w="2780" w:type="dxa"/>
            <w:tcBorders>
              <w:top w:val="single" w:color="auto" w:sz="4" w:space="0"/>
              <w:left w:val="nil"/>
              <w:bottom w:val="single" w:color="190B16" w:sz="6" w:space="0"/>
              <w:right w:val="single" w:color="190B16" w:sz="6" w:space="0"/>
            </w:tcBorders>
            <w:vAlign w:val="center"/>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煤矿安全</w:t>
            </w:r>
          </w:p>
        </w:tc>
        <w:tc>
          <w:tcPr>
            <w:tcW w:w="4820" w:type="dxa"/>
            <w:tcBorders>
              <w:top w:val="nil"/>
              <w:left w:val="nil"/>
              <w:bottom w:val="single" w:color="190B16" w:sz="6" w:space="0"/>
              <w:right w:val="single" w:color="190B16" w:sz="6" w:space="0"/>
            </w:tcBorders>
            <w:vAlign w:val="center"/>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煤炭行业</w:t>
            </w:r>
          </w:p>
        </w:tc>
      </w:tr>
      <w:tr>
        <w:tblPrEx>
          <w:tblCellMar>
            <w:top w:w="0" w:type="dxa"/>
            <w:left w:w="0" w:type="dxa"/>
            <w:bottom w:w="0" w:type="dxa"/>
            <w:right w:w="0" w:type="dxa"/>
          </w:tblCellMar>
        </w:tblPrEx>
        <w:trPr>
          <w:trHeight w:val="737" w:hRule="exact"/>
        </w:trPr>
        <w:tc>
          <w:tcPr>
            <w:tcW w:w="630" w:type="dxa"/>
            <w:tcBorders>
              <w:top w:val="nil"/>
              <w:left w:val="single" w:color="190B16" w:sz="6" w:space="0"/>
              <w:bottom w:val="single" w:color="auto" w:sz="4" w:space="0"/>
              <w:right w:val="single" w:color="190B16" w:sz="6" w:space="0"/>
            </w:tcBorders>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2</w:t>
            </w:r>
          </w:p>
        </w:tc>
        <w:tc>
          <w:tcPr>
            <w:tcW w:w="2780" w:type="dxa"/>
            <w:tcBorders>
              <w:top w:val="nil"/>
              <w:left w:val="nil"/>
              <w:bottom w:val="single" w:color="190B16" w:sz="6" w:space="0"/>
              <w:right w:val="single" w:color="190B16" w:sz="6" w:space="0"/>
            </w:tcBorders>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金属非金属矿山安全</w:t>
            </w:r>
          </w:p>
        </w:tc>
        <w:tc>
          <w:tcPr>
            <w:tcW w:w="4820" w:type="dxa"/>
            <w:tcBorders>
              <w:top w:val="nil"/>
              <w:left w:val="nil"/>
              <w:bottom w:val="single" w:color="190B16" w:sz="6" w:space="0"/>
              <w:right w:val="single" w:color="190B16" w:sz="6" w:space="0"/>
            </w:tcBorders>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金属非金属矿山行业</w:t>
            </w:r>
          </w:p>
        </w:tc>
      </w:tr>
      <w:tr>
        <w:tblPrEx>
          <w:tblCellMar>
            <w:top w:w="0" w:type="dxa"/>
            <w:left w:w="0" w:type="dxa"/>
            <w:bottom w:w="0" w:type="dxa"/>
            <w:right w:w="0" w:type="dxa"/>
          </w:tblCellMar>
        </w:tblPrEx>
        <w:trPr>
          <w:trHeight w:val="1304" w:hRule="exact"/>
        </w:trPr>
        <w:tc>
          <w:tcPr>
            <w:tcW w:w="630" w:type="dxa"/>
            <w:tcBorders>
              <w:top w:val="single" w:color="auto" w:sz="4" w:space="0"/>
              <w:left w:val="single" w:color="190B16" w:sz="6" w:space="0"/>
              <w:bottom w:val="single" w:color="190B16" w:sz="6" w:space="0"/>
              <w:right w:val="single" w:color="190B16" w:sz="6" w:space="0"/>
            </w:tcBorders>
            <w:vAlign w:val="center"/>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3</w:t>
            </w:r>
          </w:p>
        </w:tc>
        <w:tc>
          <w:tcPr>
            <w:tcW w:w="2780" w:type="dxa"/>
            <w:tcBorders>
              <w:top w:val="nil"/>
              <w:left w:val="nil"/>
              <w:bottom w:val="single" w:color="190B16" w:sz="6" w:space="0"/>
              <w:right w:val="single" w:color="190B16" w:sz="6" w:space="0"/>
            </w:tcBorders>
            <w:vAlign w:val="center"/>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化工安全</w:t>
            </w:r>
          </w:p>
        </w:tc>
        <w:tc>
          <w:tcPr>
            <w:tcW w:w="4820" w:type="dxa"/>
            <w:tcBorders>
              <w:top w:val="nil"/>
              <w:left w:val="nil"/>
              <w:bottom w:val="single" w:color="190B16" w:sz="6" w:space="0"/>
              <w:right w:val="single" w:color="190B16" w:sz="6" w:space="0"/>
            </w:tcBorders>
            <w:vAlign w:val="center"/>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化工、医药等行业（包括危险化学品生产、储存，石油天然气储存）</w:t>
            </w:r>
          </w:p>
        </w:tc>
      </w:tr>
      <w:tr>
        <w:tblPrEx>
          <w:tblCellMar>
            <w:top w:w="0" w:type="dxa"/>
            <w:left w:w="0" w:type="dxa"/>
            <w:bottom w:w="0" w:type="dxa"/>
            <w:right w:w="0" w:type="dxa"/>
          </w:tblCellMar>
        </w:tblPrEx>
        <w:trPr>
          <w:trHeight w:val="737" w:hRule="exact"/>
        </w:trPr>
        <w:tc>
          <w:tcPr>
            <w:tcW w:w="630" w:type="dxa"/>
            <w:tcBorders>
              <w:top w:val="nil"/>
              <w:left w:val="single" w:color="190B16" w:sz="6" w:space="0"/>
              <w:bottom w:val="single" w:color="190B16" w:sz="6" w:space="0"/>
              <w:right w:val="single" w:color="190B16" w:sz="6" w:space="0"/>
            </w:tcBorders>
            <w:vAlign w:val="center"/>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4</w:t>
            </w:r>
          </w:p>
        </w:tc>
        <w:tc>
          <w:tcPr>
            <w:tcW w:w="2780" w:type="dxa"/>
            <w:tcBorders>
              <w:top w:val="nil"/>
              <w:left w:val="nil"/>
              <w:bottom w:val="single" w:color="190B16" w:sz="6" w:space="0"/>
              <w:right w:val="single" w:color="190B16" w:sz="6" w:space="0"/>
            </w:tcBorders>
            <w:vAlign w:val="center"/>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金属冶炼安全</w:t>
            </w:r>
          </w:p>
        </w:tc>
        <w:tc>
          <w:tcPr>
            <w:tcW w:w="4820" w:type="dxa"/>
            <w:tcBorders>
              <w:top w:val="nil"/>
              <w:left w:val="nil"/>
              <w:bottom w:val="single" w:color="190B16" w:sz="6" w:space="0"/>
              <w:right w:val="single" w:color="190B16" w:sz="6" w:space="0"/>
            </w:tcBorders>
            <w:vAlign w:val="center"/>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冶金、有色冶炼行业</w:t>
            </w:r>
          </w:p>
        </w:tc>
      </w:tr>
      <w:tr>
        <w:tblPrEx>
          <w:tblCellMar>
            <w:top w:w="0" w:type="dxa"/>
            <w:left w:w="0" w:type="dxa"/>
            <w:bottom w:w="0" w:type="dxa"/>
            <w:right w:w="0" w:type="dxa"/>
          </w:tblCellMar>
        </w:tblPrEx>
        <w:trPr>
          <w:trHeight w:val="737" w:hRule="exact"/>
        </w:trPr>
        <w:tc>
          <w:tcPr>
            <w:tcW w:w="630" w:type="dxa"/>
            <w:tcBorders>
              <w:top w:val="nil"/>
              <w:left w:val="single" w:color="190B16" w:sz="6" w:space="0"/>
              <w:bottom w:val="single" w:color="190B16" w:sz="6" w:space="0"/>
              <w:right w:val="single" w:color="190B16" w:sz="6" w:space="0"/>
            </w:tcBorders>
            <w:vAlign w:val="center"/>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5</w:t>
            </w:r>
          </w:p>
        </w:tc>
        <w:tc>
          <w:tcPr>
            <w:tcW w:w="2780" w:type="dxa"/>
            <w:tcBorders>
              <w:top w:val="nil"/>
              <w:left w:val="nil"/>
              <w:bottom w:val="single" w:color="190B16" w:sz="6" w:space="0"/>
              <w:right w:val="single" w:color="190B16" w:sz="6" w:space="0"/>
            </w:tcBorders>
            <w:vAlign w:val="center"/>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建筑施工安全</w:t>
            </w:r>
          </w:p>
        </w:tc>
        <w:tc>
          <w:tcPr>
            <w:tcW w:w="4820" w:type="dxa"/>
            <w:tcBorders>
              <w:top w:val="nil"/>
              <w:left w:val="nil"/>
              <w:bottom w:val="single" w:color="190B16" w:sz="6" w:space="0"/>
              <w:right w:val="single" w:color="190B16" w:sz="6" w:space="0"/>
            </w:tcBorders>
            <w:vAlign w:val="center"/>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建设工程各行业</w:t>
            </w:r>
          </w:p>
        </w:tc>
      </w:tr>
      <w:tr>
        <w:tblPrEx>
          <w:tblCellMar>
            <w:top w:w="0" w:type="dxa"/>
            <w:left w:w="0" w:type="dxa"/>
            <w:bottom w:w="0" w:type="dxa"/>
            <w:right w:w="0" w:type="dxa"/>
          </w:tblCellMar>
        </w:tblPrEx>
        <w:trPr>
          <w:trHeight w:val="1304" w:hRule="exact"/>
        </w:trPr>
        <w:tc>
          <w:tcPr>
            <w:tcW w:w="630" w:type="dxa"/>
            <w:tcBorders>
              <w:top w:val="nil"/>
              <w:left w:val="single" w:color="190B16" w:sz="6" w:space="0"/>
              <w:bottom w:val="single" w:color="190B16" w:sz="6" w:space="0"/>
              <w:right w:val="single" w:color="190B16" w:sz="6" w:space="0"/>
            </w:tcBorders>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6</w:t>
            </w:r>
          </w:p>
        </w:tc>
        <w:tc>
          <w:tcPr>
            <w:tcW w:w="2780" w:type="dxa"/>
            <w:tcBorders>
              <w:top w:val="nil"/>
              <w:left w:val="nil"/>
              <w:bottom w:val="single" w:color="190B16" w:sz="6" w:space="0"/>
              <w:right w:val="single" w:color="190B16" w:sz="6" w:space="0"/>
            </w:tcBorders>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道路运输安全</w:t>
            </w:r>
          </w:p>
        </w:tc>
        <w:tc>
          <w:tcPr>
            <w:tcW w:w="4820" w:type="dxa"/>
            <w:tcBorders>
              <w:top w:val="nil"/>
              <w:left w:val="nil"/>
              <w:bottom w:val="single" w:color="190B16" w:sz="6" w:space="0"/>
              <w:right w:val="single" w:color="190B16" w:sz="6" w:space="0"/>
            </w:tcBorders>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道路旅客运输、道路危险货物运输、道路普通货物运输、机动车维修和机动车驾驶培训行业</w:t>
            </w:r>
          </w:p>
        </w:tc>
      </w:tr>
      <w:tr>
        <w:tblPrEx>
          <w:tblCellMar>
            <w:top w:w="0" w:type="dxa"/>
            <w:left w:w="0" w:type="dxa"/>
            <w:bottom w:w="0" w:type="dxa"/>
            <w:right w:w="0" w:type="dxa"/>
          </w:tblCellMar>
        </w:tblPrEx>
        <w:trPr>
          <w:trHeight w:val="1304" w:hRule="exact"/>
        </w:trPr>
        <w:tc>
          <w:tcPr>
            <w:tcW w:w="630" w:type="dxa"/>
            <w:tcBorders>
              <w:top w:val="nil"/>
              <w:left w:val="single" w:color="190B16" w:sz="6" w:space="0"/>
              <w:bottom w:val="single" w:color="190B16" w:sz="6" w:space="0"/>
              <w:right w:val="single" w:color="190B16" w:sz="6" w:space="0"/>
            </w:tcBorders>
            <w:vAlign w:val="center"/>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7</w:t>
            </w:r>
          </w:p>
        </w:tc>
        <w:tc>
          <w:tcPr>
            <w:tcW w:w="2780" w:type="dxa"/>
            <w:tcBorders>
              <w:top w:val="nil"/>
              <w:left w:val="nil"/>
              <w:bottom w:val="single" w:color="190B16" w:sz="6" w:space="0"/>
              <w:right w:val="single" w:color="190B16" w:sz="6" w:space="0"/>
            </w:tcBorders>
            <w:vAlign w:val="center"/>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其他安全（不包括消防安全）</w:t>
            </w:r>
          </w:p>
        </w:tc>
        <w:tc>
          <w:tcPr>
            <w:tcW w:w="4820" w:type="dxa"/>
            <w:tcBorders>
              <w:top w:val="nil"/>
              <w:left w:val="nil"/>
              <w:bottom w:val="single" w:color="190B16" w:sz="6" w:space="0"/>
              <w:right w:val="single" w:color="190B16" w:sz="6" w:space="0"/>
            </w:tcBorders>
          </w:tcPr>
          <w:p>
            <w:pPr>
              <w:widowControl/>
              <w:spacing w:before="135" w:after="135" w:line="600" w:lineRule="exac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除上述行业以外的烟花爆竹、民用爆炸物品、石油天然气开采、燃气、电力等其他行业</w:t>
            </w:r>
          </w:p>
        </w:tc>
      </w:tr>
    </w:tbl>
    <w:p>
      <w:pPr>
        <w:widowControl/>
        <w:shd w:val="clear" w:color="auto" w:fill="FFFFFF"/>
        <w:spacing w:before="135" w:after="135" w:line="560" w:lineRule="exact"/>
        <w:ind w:firstLine="420" w:firstLineChars="200"/>
        <w:rPr>
          <w:rFonts w:ascii="仿宋_GB2312" w:hAnsi="宋体" w:eastAsia="仿宋_GB2312" w:cs="宋体"/>
          <w:color w:val="2D0201"/>
          <w:kern w:val="0"/>
          <w:szCs w:val="21"/>
        </w:rPr>
      </w:pPr>
      <w:r>
        <w:rPr>
          <w:rFonts w:hint="eastAsia" w:ascii="仿宋_GB2312" w:hAnsi="宋体" w:eastAsia="仿宋_GB2312" w:cs="宋体"/>
          <w:color w:val="2D0201"/>
          <w:kern w:val="0"/>
          <w:szCs w:val="21"/>
        </w:rPr>
        <w:t>已经取得注册安全工程师执业资格证书或中级注册安全工程师职业资格证书的人员（含中专学历人员），可以报名参加其他专业类别考试（增报专业）。</w:t>
      </w:r>
    </w:p>
    <w:p>
      <w:pPr>
        <w:widowControl/>
        <w:shd w:val="clear" w:color="auto" w:fill="FFFFFF"/>
        <w:spacing w:before="135" w:line="560" w:lineRule="exact"/>
        <w:ind w:firstLine="420" w:firstLineChars="200"/>
        <w:rPr>
          <w:rFonts w:ascii="黑体" w:hAnsi="黑体" w:eastAsia="黑体" w:cs="宋体"/>
          <w:color w:val="2D0201"/>
          <w:kern w:val="36"/>
          <w:sz w:val="30"/>
          <w:szCs w:val="30"/>
        </w:rPr>
      </w:pPr>
      <w:r>
        <w:rPr>
          <w:rFonts w:hint="eastAsia" w:ascii="仿宋_GB2312" w:hAnsi="宋体" w:eastAsia="仿宋_GB2312" w:cs="宋体"/>
          <w:color w:val="2D0201"/>
          <w:kern w:val="0"/>
          <w:szCs w:val="21"/>
        </w:rPr>
        <w:t>报名条件中“安全工程及相关专业”，按照《应急管理部办公厅 关于印发〈注册安全工程师职业资格考试安全工程及相关专业参考目录〉的通知》（应急厅函〔2019〕410号）执行（附：“注册安全工程师职业资格考试安全工程及相关专业参考目录”）。</w:t>
      </w:r>
      <w:bookmarkStart w:id="0" w:name="_GoBack"/>
      <w:bookmarkEnd w:id="0"/>
    </w:p>
    <w:p>
      <w:pPr>
        <w:widowControl/>
        <w:shd w:val="clear" w:color="auto" w:fill="FFFFFF"/>
        <w:spacing w:before="300" w:after="375" w:line="288" w:lineRule="auto"/>
        <w:jc w:val="center"/>
        <w:outlineLvl w:val="1"/>
        <w:rPr>
          <w:rFonts w:ascii="黑体" w:hAnsi="黑体" w:eastAsia="黑体" w:cs="宋体"/>
          <w:color w:val="2D0201"/>
          <w:kern w:val="36"/>
          <w:sz w:val="30"/>
          <w:szCs w:val="30"/>
        </w:rPr>
      </w:pPr>
      <w:r>
        <w:rPr>
          <w:rFonts w:hint="eastAsia" w:ascii="黑体" w:hAnsi="黑体" w:eastAsia="黑体" w:cs="宋体"/>
          <w:color w:val="2D0201"/>
          <w:kern w:val="36"/>
          <w:sz w:val="44"/>
          <w:szCs w:val="44"/>
        </w:rPr>
        <w:t>注册安全工程师职业资格考试安全工程及相关专业参考目录</w:t>
      </w:r>
      <w:r>
        <w:rPr>
          <w:rFonts w:hint="eastAsia" w:ascii="宋体" w:hAnsi="宋体" w:eastAsia="黑体" w:cs="宋体"/>
          <w:b/>
          <w:bCs/>
          <w:color w:val="2D0201"/>
          <w:kern w:val="0"/>
          <w:sz w:val="44"/>
          <w:szCs w:val="44"/>
        </w:rPr>
        <w:t> </w:t>
      </w:r>
    </w:p>
    <w:tbl>
      <w:tblPr>
        <w:tblStyle w:val="6"/>
        <w:tblW w:w="8235" w:type="dxa"/>
        <w:tblInd w:w="0" w:type="dxa"/>
        <w:tblLayout w:type="autofit"/>
        <w:tblCellMar>
          <w:top w:w="0" w:type="dxa"/>
          <w:left w:w="0" w:type="dxa"/>
          <w:bottom w:w="0" w:type="dxa"/>
          <w:right w:w="0" w:type="dxa"/>
        </w:tblCellMar>
      </w:tblPr>
      <w:tblGrid>
        <w:gridCol w:w="735"/>
        <w:gridCol w:w="1785"/>
        <w:gridCol w:w="5715"/>
      </w:tblGrid>
      <w:tr>
        <w:tblPrEx>
          <w:tblCellMar>
            <w:top w:w="0" w:type="dxa"/>
            <w:left w:w="0" w:type="dxa"/>
            <w:bottom w:w="0" w:type="dxa"/>
            <w:right w:w="0" w:type="dxa"/>
          </w:tblCellMar>
        </w:tblPrEx>
        <w:tc>
          <w:tcPr>
            <w:tcW w:w="735" w:type="dxa"/>
            <w:tcBorders>
              <w:top w:val="single" w:color="190B16" w:sz="6" w:space="0"/>
              <w:left w:val="single" w:color="190B16" w:sz="6" w:space="0"/>
              <w:bottom w:val="single" w:color="190B16" w:sz="6" w:space="0"/>
              <w:right w:val="single" w:color="190B16" w:sz="6" w:space="0"/>
            </w:tcBorders>
            <w:vAlign w:val="center"/>
          </w:tcPr>
          <w:p>
            <w:pPr>
              <w:widowControl/>
              <w:spacing w:before="150" w:after="150" w:line="375" w:lineRule="atLeas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序号</w:t>
            </w:r>
          </w:p>
        </w:tc>
        <w:tc>
          <w:tcPr>
            <w:tcW w:w="1785" w:type="dxa"/>
            <w:tcBorders>
              <w:top w:val="single" w:color="190B16" w:sz="6" w:space="0"/>
              <w:left w:val="nil"/>
              <w:bottom w:val="single" w:color="190B16" w:sz="6" w:space="0"/>
              <w:right w:val="single" w:color="190B16" w:sz="6" w:space="0"/>
            </w:tcBorders>
            <w:vAlign w:val="center"/>
          </w:tcPr>
          <w:p>
            <w:pPr>
              <w:widowControl/>
              <w:spacing w:before="150" w:after="150" w:line="375" w:lineRule="atLeas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学历（学位）</w:t>
            </w:r>
          </w:p>
        </w:tc>
        <w:tc>
          <w:tcPr>
            <w:tcW w:w="5715" w:type="dxa"/>
            <w:tcBorders>
              <w:top w:val="single" w:color="190B16" w:sz="6" w:space="0"/>
              <w:left w:val="nil"/>
              <w:bottom w:val="single" w:color="190B16" w:sz="6" w:space="0"/>
              <w:right w:val="single" w:color="190B16" w:sz="6" w:space="0"/>
            </w:tcBorders>
            <w:vAlign w:val="center"/>
          </w:tcPr>
          <w:p>
            <w:pPr>
              <w:widowControl/>
              <w:spacing w:before="150" w:after="150" w:line="375" w:lineRule="atLeas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安全工程及相关专业</w:t>
            </w:r>
          </w:p>
        </w:tc>
      </w:tr>
      <w:tr>
        <w:tblPrEx>
          <w:tblCellMar>
            <w:top w:w="0" w:type="dxa"/>
            <w:left w:w="0" w:type="dxa"/>
            <w:bottom w:w="0" w:type="dxa"/>
            <w:right w:w="0" w:type="dxa"/>
          </w:tblCellMar>
        </w:tblPrEx>
        <w:tc>
          <w:tcPr>
            <w:tcW w:w="735" w:type="dxa"/>
            <w:tcBorders>
              <w:top w:val="nil"/>
              <w:left w:val="single" w:color="190B16" w:sz="6" w:space="0"/>
              <w:bottom w:val="single" w:color="190B16" w:sz="6" w:space="0"/>
              <w:right w:val="single" w:color="190B16" w:sz="6" w:space="0"/>
            </w:tcBorders>
            <w:vAlign w:val="center"/>
          </w:tcPr>
          <w:p>
            <w:pPr>
              <w:widowControl/>
              <w:spacing w:before="150" w:after="150" w:line="375" w:lineRule="atLeas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1</w:t>
            </w:r>
          </w:p>
        </w:tc>
        <w:tc>
          <w:tcPr>
            <w:tcW w:w="1785" w:type="dxa"/>
            <w:tcBorders>
              <w:top w:val="nil"/>
              <w:left w:val="nil"/>
              <w:bottom w:val="single" w:color="190B16" w:sz="6" w:space="0"/>
              <w:right w:val="single" w:color="190B16" w:sz="6" w:space="0"/>
            </w:tcBorders>
            <w:vAlign w:val="center"/>
          </w:tcPr>
          <w:p>
            <w:pPr>
              <w:widowControl/>
              <w:spacing w:before="150" w:after="150" w:line="375" w:lineRule="atLeas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中专学历</w:t>
            </w:r>
          </w:p>
        </w:tc>
        <w:tc>
          <w:tcPr>
            <w:tcW w:w="5715" w:type="dxa"/>
            <w:tcBorders>
              <w:top w:val="nil"/>
              <w:left w:val="nil"/>
              <w:bottom w:val="single" w:color="190B16" w:sz="6" w:space="0"/>
              <w:right w:val="single" w:color="190B16" w:sz="6" w:space="0"/>
            </w:tcBorders>
            <w:vAlign w:val="center"/>
          </w:tcPr>
          <w:p>
            <w:pPr>
              <w:widowControl/>
              <w:spacing w:before="150" w:after="150" w:line="375" w:lineRule="atLeast"/>
              <w:ind w:firstLine="420"/>
              <w:jc w:val="left"/>
              <w:rPr>
                <w:rFonts w:ascii="仿宋_GB2312" w:hAnsi="宋体" w:eastAsia="仿宋_GB2312" w:cs="宋体"/>
                <w:color w:val="190B16"/>
                <w:kern w:val="0"/>
                <w:szCs w:val="21"/>
              </w:rPr>
            </w:pPr>
            <w:r>
              <w:rPr>
                <w:rFonts w:hint="eastAsia" w:ascii="仿宋_GB2312" w:hAnsi="宋体" w:eastAsia="仿宋_GB2312" w:cs="宋体"/>
                <w:color w:val="190B16"/>
                <w:kern w:val="0"/>
                <w:szCs w:val="21"/>
              </w:rPr>
              <w:t>农林牧渔类、资源环境类、能源与新能源类、土木水利类、加工制造类、石油化工类、轻纺食品类、交通运输类、信息技术类。</w:t>
            </w:r>
          </w:p>
        </w:tc>
      </w:tr>
      <w:tr>
        <w:tblPrEx>
          <w:tblCellMar>
            <w:top w:w="0" w:type="dxa"/>
            <w:left w:w="0" w:type="dxa"/>
            <w:bottom w:w="0" w:type="dxa"/>
            <w:right w:w="0" w:type="dxa"/>
          </w:tblCellMar>
        </w:tblPrEx>
        <w:tc>
          <w:tcPr>
            <w:tcW w:w="735" w:type="dxa"/>
            <w:tcBorders>
              <w:top w:val="nil"/>
              <w:left w:val="single" w:color="190B16" w:sz="6" w:space="0"/>
              <w:bottom w:val="single" w:color="190B16" w:sz="6" w:space="0"/>
              <w:right w:val="single" w:color="190B16" w:sz="6" w:space="0"/>
            </w:tcBorders>
            <w:vAlign w:val="center"/>
          </w:tcPr>
          <w:p>
            <w:pPr>
              <w:widowControl/>
              <w:spacing w:before="150" w:after="150" w:line="375" w:lineRule="atLeas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2</w:t>
            </w:r>
          </w:p>
        </w:tc>
        <w:tc>
          <w:tcPr>
            <w:tcW w:w="1785" w:type="dxa"/>
            <w:tcBorders>
              <w:top w:val="nil"/>
              <w:left w:val="nil"/>
              <w:bottom w:val="single" w:color="190B16" w:sz="6" w:space="0"/>
              <w:right w:val="single" w:color="190B16" w:sz="6" w:space="0"/>
            </w:tcBorders>
            <w:vAlign w:val="center"/>
          </w:tcPr>
          <w:p>
            <w:pPr>
              <w:widowControl/>
              <w:spacing w:before="150" w:after="150" w:line="375" w:lineRule="atLeas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大学专科学历</w:t>
            </w:r>
          </w:p>
        </w:tc>
        <w:tc>
          <w:tcPr>
            <w:tcW w:w="5715" w:type="dxa"/>
            <w:tcBorders>
              <w:top w:val="nil"/>
              <w:left w:val="nil"/>
              <w:bottom w:val="single" w:color="190B16" w:sz="6" w:space="0"/>
              <w:right w:val="single" w:color="190B16" w:sz="6" w:space="0"/>
            </w:tcBorders>
            <w:vAlign w:val="center"/>
          </w:tcPr>
          <w:p>
            <w:pPr>
              <w:widowControl/>
              <w:spacing w:before="150" w:after="150" w:line="375" w:lineRule="atLeast"/>
              <w:ind w:firstLine="480"/>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农业类、林业类、资源勘查类、地质类、测绘地理信息类、石油与天然气类、煤炭类、金属与非金属矿类、环境保护类、安全类、电力技术类、热能与发电工程类、新能源发电工程类、黑色金属材料类、有色金属材料类、非金属材料类、建筑材料类、建筑设计类、城乡规划与管理类、土建施工类、建筑设备类、建设工程管理类、市政工程类、房地产类、水利工程与管理类、水利水电设备类、水土保持与水环境类、机械设计制造类、机电设备类、自动化类、铁道装备类、船舶与海洋工程装备类、航空装备类、汽车制造类、生物技术类、化工技术类、轻化工类、包装类、印刷类、纺织服装类、食品工业类、药品制造类、粮食工业类、粮食储检类、铁道运输类、道路运输类、水上运输类、航空运输类、管道运输类、城市轨道交通类、电子信息类、计算机类、通信类、物流类、公安管理类、公安指挥类、司法技术类。</w:t>
            </w:r>
          </w:p>
        </w:tc>
      </w:tr>
      <w:tr>
        <w:tc>
          <w:tcPr>
            <w:tcW w:w="735" w:type="dxa"/>
            <w:tcBorders>
              <w:top w:val="nil"/>
              <w:left w:val="single" w:color="190B16" w:sz="6" w:space="0"/>
              <w:bottom w:val="single" w:color="190B16" w:sz="6" w:space="0"/>
              <w:right w:val="single" w:color="190B16" w:sz="6" w:space="0"/>
            </w:tcBorders>
            <w:vAlign w:val="center"/>
          </w:tcPr>
          <w:p>
            <w:pPr>
              <w:widowControl/>
              <w:spacing w:before="150" w:after="150" w:line="375" w:lineRule="atLeas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3</w:t>
            </w:r>
          </w:p>
        </w:tc>
        <w:tc>
          <w:tcPr>
            <w:tcW w:w="1785" w:type="dxa"/>
            <w:tcBorders>
              <w:top w:val="nil"/>
              <w:left w:val="nil"/>
              <w:bottom w:val="single" w:color="190B16" w:sz="6" w:space="0"/>
              <w:right w:val="single" w:color="190B16" w:sz="6" w:space="0"/>
            </w:tcBorders>
            <w:vAlign w:val="center"/>
          </w:tcPr>
          <w:p>
            <w:pPr>
              <w:widowControl/>
              <w:spacing w:before="150" w:after="150" w:line="375" w:lineRule="atLeas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大学本科学历</w:t>
            </w:r>
          </w:p>
        </w:tc>
        <w:tc>
          <w:tcPr>
            <w:tcW w:w="5715" w:type="dxa"/>
            <w:vMerge w:val="restart"/>
            <w:tcBorders>
              <w:top w:val="nil"/>
              <w:left w:val="nil"/>
              <w:bottom w:val="single" w:color="190B16" w:sz="6" w:space="0"/>
              <w:right w:val="single" w:color="190B16" w:sz="6" w:space="0"/>
            </w:tcBorders>
            <w:vAlign w:val="center"/>
          </w:tcPr>
          <w:p>
            <w:pPr>
              <w:widowControl/>
              <w:spacing w:before="150" w:after="150" w:line="375" w:lineRule="atLeast"/>
              <w:ind w:firstLine="480"/>
              <w:jc w:val="left"/>
              <w:rPr>
                <w:rFonts w:ascii="仿宋_GB2312" w:hAnsi="宋体" w:eastAsia="仿宋_GB2312" w:cs="宋体"/>
                <w:color w:val="190B16"/>
                <w:kern w:val="0"/>
                <w:szCs w:val="21"/>
              </w:rPr>
            </w:pPr>
            <w:r>
              <w:rPr>
                <w:rFonts w:hint="eastAsia" w:ascii="仿宋_GB2312" w:hAnsi="宋体" w:eastAsia="仿宋_GB2312" w:cs="宋体"/>
                <w:color w:val="190B16"/>
                <w:kern w:val="0"/>
                <w:szCs w:val="21"/>
              </w:rPr>
              <w:t>工学门类的所有专业类；公安学类、化学类、管理科学与工程类、物流管理与工程类、工业工程类。</w:t>
            </w:r>
          </w:p>
        </w:tc>
      </w:tr>
      <w:tr>
        <w:tblPrEx>
          <w:tblCellMar>
            <w:top w:w="0" w:type="dxa"/>
            <w:left w:w="0" w:type="dxa"/>
            <w:bottom w:w="0" w:type="dxa"/>
            <w:right w:w="0" w:type="dxa"/>
          </w:tblCellMar>
        </w:tblPrEx>
        <w:tc>
          <w:tcPr>
            <w:tcW w:w="735" w:type="dxa"/>
            <w:tcBorders>
              <w:top w:val="nil"/>
              <w:left w:val="single" w:color="190B16" w:sz="6" w:space="0"/>
              <w:bottom w:val="single" w:color="190B16" w:sz="6" w:space="0"/>
              <w:right w:val="single" w:color="190B16" w:sz="6" w:space="0"/>
            </w:tcBorders>
            <w:vAlign w:val="center"/>
          </w:tcPr>
          <w:p>
            <w:pPr>
              <w:widowControl/>
              <w:spacing w:before="150" w:after="150" w:line="375" w:lineRule="atLeas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4</w:t>
            </w:r>
          </w:p>
        </w:tc>
        <w:tc>
          <w:tcPr>
            <w:tcW w:w="1785" w:type="dxa"/>
            <w:tcBorders>
              <w:top w:val="nil"/>
              <w:left w:val="nil"/>
              <w:bottom w:val="single" w:color="190B16" w:sz="6" w:space="0"/>
              <w:right w:val="single" w:color="190B16" w:sz="6" w:space="0"/>
            </w:tcBorders>
            <w:vAlign w:val="center"/>
          </w:tcPr>
          <w:p>
            <w:pPr>
              <w:widowControl/>
              <w:spacing w:before="150" w:after="150" w:line="375" w:lineRule="atLeas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第二学士学位</w:t>
            </w:r>
          </w:p>
        </w:tc>
        <w:tc>
          <w:tcPr>
            <w:tcW w:w="0" w:type="auto"/>
            <w:vMerge w:val="continue"/>
            <w:tcBorders>
              <w:top w:val="nil"/>
              <w:left w:val="nil"/>
              <w:bottom w:val="single" w:color="190B16" w:sz="6" w:space="0"/>
              <w:right w:val="single" w:color="190B16" w:sz="6" w:space="0"/>
            </w:tcBorders>
            <w:vAlign w:val="center"/>
          </w:tcPr>
          <w:p>
            <w:pPr>
              <w:widowControl/>
              <w:jc w:val="left"/>
              <w:rPr>
                <w:rFonts w:ascii="仿宋_GB2312" w:hAnsi="宋体" w:eastAsia="仿宋_GB2312" w:cs="宋体"/>
                <w:color w:val="190B16"/>
                <w:kern w:val="0"/>
                <w:szCs w:val="21"/>
              </w:rPr>
            </w:pPr>
          </w:p>
        </w:tc>
      </w:tr>
      <w:tr>
        <w:tblPrEx>
          <w:tblCellMar>
            <w:top w:w="0" w:type="dxa"/>
            <w:left w:w="0" w:type="dxa"/>
            <w:bottom w:w="0" w:type="dxa"/>
            <w:right w:w="0" w:type="dxa"/>
          </w:tblCellMar>
        </w:tblPrEx>
        <w:tc>
          <w:tcPr>
            <w:tcW w:w="735" w:type="dxa"/>
            <w:tcBorders>
              <w:top w:val="nil"/>
              <w:left w:val="single" w:color="190B16" w:sz="6" w:space="0"/>
              <w:bottom w:val="single" w:color="190B16" w:sz="6" w:space="0"/>
              <w:right w:val="single" w:color="190B16" w:sz="6" w:space="0"/>
            </w:tcBorders>
            <w:vAlign w:val="center"/>
          </w:tcPr>
          <w:p>
            <w:pPr>
              <w:widowControl/>
              <w:spacing w:before="150" w:after="150" w:line="375" w:lineRule="atLeas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5</w:t>
            </w:r>
          </w:p>
        </w:tc>
        <w:tc>
          <w:tcPr>
            <w:tcW w:w="1785" w:type="dxa"/>
            <w:tcBorders>
              <w:top w:val="nil"/>
              <w:left w:val="nil"/>
              <w:bottom w:val="single" w:color="190B16" w:sz="6" w:space="0"/>
              <w:right w:val="single" w:color="190B16" w:sz="6" w:space="0"/>
            </w:tcBorders>
            <w:vAlign w:val="center"/>
          </w:tcPr>
          <w:p>
            <w:pPr>
              <w:widowControl/>
              <w:spacing w:before="150" w:after="150" w:line="375" w:lineRule="atLeast"/>
              <w:jc w:val="center"/>
              <w:rPr>
                <w:rFonts w:ascii="仿宋_GB2312" w:hAnsi="宋体" w:eastAsia="仿宋_GB2312" w:cs="宋体"/>
                <w:color w:val="190B16"/>
                <w:kern w:val="0"/>
                <w:szCs w:val="21"/>
              </w:rPr>
            </w:pPr>
            <w:r>
              <w:rPr>
                <w:rFonts w:hint="eastAsia" w:ascii="仿宋_GB2312" w:hAnsi="宋体" w:eastAsia="仿宋_GB2312" w:cs="宋体"/>
                <w:color w:val="190B16"/>
                <w:kern w:val="0"/>
                <w:szCs w:val="21"/>
              </w:rPr>
              <w:t>硕士学位</w:t>
            </w:r>
          </w:p>
        </w:tc>
        <w:tc>
          <w:tcPr>
            <w:tcW w:w="5715" w:type="dxa"/>
            <w:vMerge w:val="restart"/>
            <w:tcBorders>
              <w:top w:val="nil"/>
              <w:left w:val="nil"/>
              <w:bottom w:val="single" w:color="190B16" w:sz="6" w:space="0"/>
              <w:right w:val="single" w:color="190B16" w:sz="6" w:space="0"/>
            </w:tcBorders>
            <w:vAlign w:val="center"/>
          </w:tcPr>
          <w:p>
            <w:pPr>
              <w:widowControl/>
              <w:spacing w:before="150" w:after="150" w:line="375" w:lineRule="atLeast"/>
              <w:ind w:firstLine="480"/>
              <w:jc w:val="left"/>
              <w:rPr>
                <w:rFonts w:ascii="仿宋_GB2312" w:hAnsi="宋体" w:eastAsia="仿宋_GB2312" w:cs="宋体"/>
                <w:color w:val="190B16"/>
                <w:kern w:val="0"/>
                <w:szCs w:val="21"/>
              </w:rPr>
            </w:pPr>
            <w:r>
              <w:rPr>
                <w:rFonts w:hint="eastAsia" w:ascii="仿宋_GB2312" w:hAnsi="宋体" w:eastAsia="仿宋_GB2312" w:cs="宋体"/>
                <w:color w:val="190B16"/>
                <w:kern w:val="0"/>
                <w:szCs w:val="21"/>
              </w:rPr>
              <w:t>工学门类的所有学科；工程硕士、工程博士以及2018年对应调整后的电子信息、机械、材料与化工、资源与环境、能源动力、土木水利、生物与医药、交通运输等8种专业学位类别；管理学门类中的管理科学与工程学科。</w:t>
            </w:r>
          </w:p>
        </w:tc>
      </w:tr>
      <w:tr>
        <w:tblPrEx>
          <w:tblCellMar>
            <w:top w:w="0" w:type="dxa"/>
            <w:left w:w="0" w:type="dxa"/>
            <w:bottom w:w="0" w:type="dxa"/>
            <w:right w:w="0" w:type="dxa"/>
          </w:tblCellMar>
        </w:tblPrEx>
        <w:tc>
          <w:tcPr>
            <w:tcW w:w="735" w:type="dxa"/>
            <w:tcBorders>
              <w:top w:val="nil"/>
              <w:left w:val="single" w:color="190B16" w:sz="6" w:space="0"/>
              <w:bottom w:val="single" w:color="190B16" w:sz="6" w:space="0"/>
              <w:right w:val="single" w:color="190B16" w:sz="6" w:space="0"/>
            </w:tcBorders>
            <w:vAlign w:val="center"/>
          </w:tcPr>
          <w:p>
            <w:pPr>
              <w:widowControl/>
              <w:spacing w:before="150" w:after="150" w:line="375" w:lineRule="atLeast"/>
              <w:jc w:val="center"/>
              <w:rPr>
                <w:rFonts w:ascii="仿宋_GB2312" w:hAnsi="宋体" w:eastAsia="仿宋_GB2312" w:cs="宋体"/>
                <w:color w:val="190B16"/>
                <w:kern w:val="0"/>
                <w:sz w:val="24"/>
                <w:szCs w:val="24"/>
              </w:rPr>
            </w:pPr>
            <w:r>
              <w:rPr>
                <w:rFonts w:hint="eastAsia" w:ascii="仿宋_GB2312" w:hAnsi="宋体" w:eastAsia="仿宋_GB2312" w:cs="宋体"/>
                <w:color w:val="190B16"/>
                <w:kern w:val="0"/>
                <w:sz w:val="24"/>
                <w:szCs w:val="24"/>
              </w:rPr>
              <w:t>6</w:t>
            </w:r>
          </w:p>
        </w:tc>
        <w:tc>
          <w:tcPr>
            <w:tcW w:w="1785" w:type="dxa"/>
            <w:tcBorders>
              <w:top w:val="nil"/>
              <w:left w:val="nil"/>
              <w:bottom w:val="single" w:color="190B16" w:sz="6" w:space="0"/>
              <w:right w:val="single" w:color="190B16" w:sz="6" w:space="0"/>
            </w:tcBorders>
            <w:vAlign w:val="center"/>
          </w:tcPr>
          <w:p>
            <w:pPr>
              <w:widowControl/>
              <w:spacing w:before="150" w:after="150" w:line="375" w:lineRule="atLeast"/>
              <w:jc w:val="center"/>
              <w:rPr>
                <w:rFonts w:ascii="仿宋_GB2312" w:hAnsi="宋体" w:eastAsia="仿宋_GB2312" w:cs="宋体"/>
                <w:color w:val="190B16"/>
                <w:kern w:val="0"/>
                <w:sz w:val="24"/>
                <w:szCs w:val="24"/>
              </w:rPr>
            </w:pPr>
            <w:r>
              <w:rPr>
                <w:rFonts w:hint="eastAsia" w:ascii="仿宋_GB2312" w:hAnsi="宋体" w:eastAsia="仿宋_GB2312" w:cs="宋体"/>
                <w:color w:val="190B16"/>
                <w:kern w:val="0"/>
                <w:sz w:val="24"/>
                <w:szCs w:val="24"/>
              </w:rPr>
              <w:t>博士学位</w:t>
            </w:r>
          </w:p>
        </w:tc>
        <w:tc>
          <w:tcPr>
            <w:tcW w:w="0" w:type="auto"/>
            <w:vMerge w:val="continue"/>
            <w:tcBorders>
              <w:top w:val="nil"/>
              <w:left w:val="nil"/>
              <w:bottom w:val="single" w:color="190B16" w:sz="6" w:space="0"/>
              <w:right w:val="single" w:color="190B16" w:sz="6" w:space="0"/>
            </w:tcBorders>
            <w:vAlign w:val="center"/>
          </w:tcPr>
          <w:p>
            <w:pPr>
              <w:widowControl/>
              <w:jc w:val="left"/>
              <w:rPr>
                <w:rFonts w:ascii="仿宋_GB2312" w:hAnsi="宋体" w:eastAsia="仿宋_GB2312" w:cs="宋体"/>
                <w:color w:val="190B16"/>
                <w:kern w:val="0"/>
                <w:sz w:val="24"/>
                <w:szCs w:val="24"/>
              </w:rPr>
            </w:pPr>
          </w:p>
        </w:tc>
      </w:tr>
    </w:tbl>
    <w:p>
      <w:pPr>
        <w:widowControl/>
        <w:shd w:val="clear" w:color="auto" w:fill="FFFFFF"/>
        <w:spacing w:before="150" w:line="375" w:lineRule="atLeast"/>
        <w:ind w:firstLine="480"/>
        <w:rPr>
          <w:rFonts w:ascii="仿宋_GB2312" w:hAnsi="宋体" w:eastAsia="仿宋_GB2312" w:cs="宋体"/>
          <w:color w:val="2D0201"/>
          <w:kern w:val="0"/>
          <w:szCs w:val="21"/>
        </w:rPr>
      </w:pPr>
      <w:r>
        <w:rPr>
          <w:rFonts w:hint="eastAsia" w:ascii="仿宋_GB2312" w:hAnsi="宋体" w:eastAsia="仿宋_GB2312" w:cs="宋体"/>
          <w:color w:val="2D0201"/>
          <w:kern w:val="0"/>
          <w:szCs w:val="21"/>
        </w:rPr>
        <w:t>注：中专泛指普通中等专业学校、成人中等专业学校、职业高中、技工学校。</w:t>
      </w:r>
    </w:p>
    <w:p>
      <w:pPr>
        <w:widowControl/>
        <w:rPr>
          <w:rFonts w:hint="default" w:ascii="仿宋_GB2312" w:hAnsi="宋体" w:eastAsia="仿宋_GB2312" w:cs="宋体"/>
          <w:color w:val="000000"/>
          <w:kern w:val="0"/>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64AB"/>
    <w:rsid w:val="00010CA5"/>
    <w:rsid w:val="00040363"/>
    <w:rsid w:val="000418C7"/>
    <w:rsid w:val="00051B34"/>
    <w:rsid w:val="000757F1"/>
    <w:rsid w:val="00080825"/>
    <w:rsid w:val="00084A85"/>
    <w:rsid w:val="00085463"/>
    <w:rsid w:val="0008570A"/>
    <w:rsid w:val="00096526"/>
    <w:rsid w:val="000A2BAB"/>
    <w:rsid w:val="000C55C4"/>
    <w:rsid w:val="000D7DBE"/>
    <w:rsid w:val="001024EA"/>
    <w:rsid w:val="00107911"/>
    <w:rsid w:val="00110FE0"/>
    <w:rsid w:val="00114DD7"/>
    <w:rsid w:val="00116A8F"/>
    <w:rsid w:val="00120234"/>
    <w:rsid w:val="001264CE"/>
    <w:rsid w:val="00127681"/>
    <w:rsid w:val="00127C8A"/>
    <w:rsid w:val="001336F8"/>
    <w:rsid w:val="00135071"/>
    <w:rsid w:val="001372B2"/>
    <w:rsid w:val="001610A7"/>
    <w:rsid w:val="00162BBE"/>
    <w:rsid w:val="00165D21"/>
    <w:rsid w:val="00170F2A"/>
    <w:rsid w:val="00176448"/>
    <w:rsid w:val="00177437"/>
    <w:rsid w:val="00181E6C"/>
    <w:rsid w:val="00184298"/>
    <w:rsid w:val="00190470"/>
    <w:rsid w:val="001A334F"/>
    <w:rsid w:val="001B4F85"/>
    <w:rsid w:val="001B78A2"/>
    <w:rsid w:val="001E37EA"/>
    <w:rsid w:val="00200ECC"/>
    <w:rsid w:val="00204B69"/>
    <w:rsid w:val="00213C4F"/>
    <w:rsid w:val="0022041D"/>
    <w:rsid w:val="002268A4"/>
    <w:rsid w:val="00227310"/>
    <w:rsid w:val="002509BA"/>
    <w:rsid w:val="002559BA"/>
    <w:rsid w:val="00277DCE"/>
    <w:rsid w:val="00282594"/>
    <w:rsid w:val="00287670"/>
    <w:rsid w:val="00293DDF"/>
    <w:rsid w:val="002A00D5"/>
    <w:rsid w:val="002A347D"/>
    <w:rsid w:val="002B5A2E"/>
    <w:rsid w:val="002D2F93"/>
    <w:rsid w:val="002E1D62"/>
    <w:rsid w:val="002E38F0"/>
    <w:rsid w:val="002F1477"/>
    <w:rsid w:val="00304FD8"/>
    <w:rsid w:val="00314B09"/>
    <w:rsid w:val="00323029"/>
    <w:rsid w:val="00323C28"/>
    <w:rsid w:val="003703CB"/>
    <w:rsid w:val="0038315E"/>
    <w:rsid w:val="003850B3"/>
    <w:rsid w:val="003A1E29"/>
    <w:rsid w:val="003A4C6A"/>
    <w:rsid w:val="003B61B4"/>
    <w:rsid w:val="003B71DD"/>
    <w:rsid w:val="003B75AD"/>
    <w:rsid w:val="003C1172"/>
    <w:rsid w:val="003D6EBD"/>
    <w:rsid w:val="003F0B64"/>
    <w:rsid w:val="003F490A"/>
    <w:rsid w:val="00405FE2"/>
    <w:rsid w:val="00416D10"/>
    <w:rsid w:val="00432613"/>
    <w:rsid w:val="004514BD"/>
    <w:rsid w:val="00453043"/>
    <w:rsid w:val="0047201B"/>
    <w:rsid w:val="00483765"/>
    <w:rsid w:val="004912E9"/>
    <w:rsid w:val="00493502"/>
    <w:rsid w:val="0049774C"/>
    <w:rsid w:val="004A01DD"/>
    <w:rsid w:val="004B258C"/>
    <w:rsid w:val="004B380E"/>
    <w:rsid w:val="004C0B20"/>
    <w:rsid w:val="004D3DA5"/>
    <w:rsid w:val="004D7241"/>
    <w:rsid w:val="004E0382"/>
    <w:rsid w:val="004E6D87"/>
    <w:rsid w:val="004F01F0"/>
    <w:rsid w:val="004F7C68"/>
    <w:rsid w:val="00510402"/>
    <w:rsid w:val="0052380E"/>
    <w:rsid w:val="00525381"/>
    <w:rsid w:val="0054125B"/>
    <w:rsid w:val="005431C8"/>
    <w:rsid w:val="00546CA3"/>
    <w:rsid w:val="0054779C"/>
    <w:rsid w:val="0055743B"/>
    <w:rsid w:val="00587887"/>
    <w:rsid w:val="00595087"/>
    <w:rsid w:val="00595E6D"/>
    <w:rsid w:val="005974F8"/>
    <w:rsid w:val="005A452F"/>
    <w:rsid w:val="005A5B75"/>
    <w:rsid w:val="005B0FF7"/>
    <w:rsid w:val="005B108D"/>
    <w:rsid w:val="005D731B"/>
    <w:rsid w:val="005F12F5"/>
    <w:rsid w:val="005F1714"/>
    <w:rsid w:val="00635FD5"/>
    <w:rsid w:val="0063641B"/>
    <w:rsid w:val="00636D37"/>
    <w:rsid w:val="00637C8F"/>
    <w:rsid w:val="0064631B"/>
    <w:rsid w:val="00655EDA"/>
    <w:rsid w:val="00676B84"/>
    <w:rsid w:val="00684BA3"/>
    <w:rsid w:val="00687833"/>
    <w:rsid w:val="006A42AF"/>
    <w:rsid w:val="006B1B40"/>
    <w:rsid w:val="006C3ED1"/>
    <w:rsid w:val="006D27DB"/>
    <w:rsid w:val="006D4E87"/>
    <w:rsid w:val="006D79AD"/>
    <w:rsid w:val="006F4DBB"/>
    <w:rsid w:val="007036C7"/>
    <w:rsid w:val="00705988"/>
    <w:rsid w:val="007146F7"/>
    <w:rsid w:val="00715D9D"/>
    <w:rsid w:val="007243E6"/>
    <w:rsid w:val="00732650"/>
    <w:rsid w:val="007345BE"/>
    <w:rsid w:val="007452A9"/>
    <w:rsid w:val="0079171C"/>
    <w:rsid w:val="007A0C27"/>
    <w:rsid w:val="007A240B"/>
    <w:rsid w:val="007B5D1A"/>
    <w:rsid w:val="007C00FC"/>
    <w:rsid w:val="007E0DB3"/>
    <w:rsid w:val="00800D24"/>
    <w:rsid w:val="0080603E"/>
    <w:rsid w:val="008138BB"/>
    <w:rsid w:val="008252B2"/>
    <w:rsid w:val="0083219A"/>
    <w:rsid w:val="00833755"/>
    <w:rsid w:val="00835C58"/>
    <w:rsid w:val="00840BB6"/>
    <w:rsid w:val="00846761"/>
    <w:rsid w:val="00853D46"/>
    <w:rsid w:val="00860F8A"/>
    <w:rsid w:val="00885D4F"/>
    <w:rsid w:val="008955ED"/>
    <w:rsid w:val="008A1C46"/>
    <w:rsid w:val="008A1CF2"/>
    <w:rsid w:val="008A3EB8"/>
    <w:rsid w:val="008A490E"/>
    <w:rsid w:val="008B29AC"/>
    <w:rsid w:val="008C7E63"/>
    <w:rsid w:val="008E2660"/>
    <w:rsid w:val="008F2CB6"/>
    <w:rsid w:val="00901D3A"/>
    <w:rsid w:val="0090722B"/>
    <w:rsid w:val="009076D2"/>
    <w:rsid w:val="009164BD"/>
    <w:rsid w:val="00921E4E"/>
    <w:rsid w:val="009309D2"/>
    <w:rsid w:val="009663BE"/>
    <w:rsid w:val="00981A3E"/>
    <w:rsid w:val="00981FC3"/>
    <w:rsid w:val="009915E7"/>
    <w:rsid w:val="00992878"/>
    <w:rsid w:val="009A146B"/>
    <w:rsid w:val="009A7B98"/>
    <w:rsid w:val="009B040F"/>
    <w:rsid w:val="009D0702"/>
    <w:rsid w:val="00A02BAB"/>
    <w:rsid w:val="00A05B36"/>
    <w:rsid w:val="00A21CBF"/>
    <w:rsid w:val="00A31AF5"/>
    <w:rsid w:val="00A35D5A"/>
    <w:rsid w:val="00A4367F"/>
    <w:rsid w:val="00A53ABF"/>
    <w:rsid w:val="00A5514E"/>
    <w:rsid w:val="00A5550C"/>
    <w:rsid w:val="00A630EF"/>
    <w:rsid w:val="00A656B2"/>
    <w:rsid w:val="00A65CD8"/>
    <w:rsid w:val="00A71F7F"/>
    <w:rsid w:val="00A7409D"/>
    <w:rsid w:val="00AA2BFF"/>
    <w:rsid w:val="00AA375A"/>
    <w:rsid w:val="00AC479E"/>
    <w:rsid w:val="00AC6A52"/>
    <w:rsid w:val="00AC6B07"/>
    <w:rsid w:val="00AD0879"/>
    <w:rsid w:val="00AD73BE"/>
    <w:rsid w:val="00AF0247"/>
    <w:rsid w:val="00AF53F3"/>
    <w:rsid w:val="00B06D7B"/>
    <w:rsid w:val="00B11639"/>
    <w:rsid w:val="00B17063"/>
    <w:rsid w:val="00B17E10"/>
    <w:rsid w:val="00B235B1"/>
    <w:rsid w:val="00B40924"/>
    <w:rsid w:val="00B56314"/>
    <w:rsid w:val="00B60022"/>
    <w:rsid w:val="00B77AF5"/>
    <w:rsid w:val="00B93933"/>
    <w:rsid w:val="00B944A3"/>
    <w:rsid w:val="00B97A79"/>
    <w:rsid w:val="00BA5A09"/>
    <w:rsid w:val="00BA7C08"/>
    <w:rsid w:val="00BB6EB9"/>
    <w:rsid w:val="00BC096E"/>
    <w:rsid w:val="00BD6409"/>
    <w:rsid w:val="00BE192A"/>
    <w:rsid w:val="00BF50E9"/>
    <w:rsid w:val="00C006E0"/>
    <w:rsid w:val="00C02B39"/>
    <w:rsid w:val="00C4634C"/>
    <w:rsid w:val="00C500A5"/>
    <w:rsid w:val="00C53D92"/>
    <w:rsid w:val="00C55D05"/>
    <w:rsid w:val="00C60862"/>
    <w:rsid w:val="00C63134"/>
    <w:rsid w:val="00C64150"/>
    <w:rsid w:val="00C729D2"/>
    <w:rsid w:val="00C7420E"/>
    <w:rsid w:val="00C77F9F"/>
    <w:rsid w:val="00C9696B"/>
    <w:rsid w:val="00CB2735"/>
    <w:rsid w:val="00CC5423"/>
    <w:rsid w:val="00CC64AB"/>
    <w:rsid w:val="00CD790F"/>
    <w:rsid w:val="00CE38AE"/>
    <w:rsid w:val="00CF448F"/>
    <w:rsid w:val="00D00CCE"/>
    <w:rsid w:val="00D076BD"/>
    <w:rsid w:val="00D136E6"/>
    <w:rsid w:val="00D22651"/>
    <w:rsid w:val="00D33B25"/>
    <w:rsid w:val="00D41592"/>
    <w:rsid w:val="00D47919"/>
    <w:rsid w:val="00D6641C"/>
    <w:rsid w:val="00D719B2"/>
    <w:rsid w:val="00D73053"/>
    <w:rsid w:val="00D758D9"/>
    <w:rsid w:val="00D81B75"/>
    <w:rsid w:val="00DA44F3"/>
    <w:rsid w:val="00DB340B"/>
    <w:rsid w:val="00DB5CAA"/>
    <w:rsid w:val="00DC0939"/>
    <w:rsid w:val="00DC41C3"/>
    <w:rsid w:val="00E02124"/>
    <w:rsid w:val="00E03F90"/>
    <w:rsid w:val="00E06AAC"/>
    <w:rsid w:val="00E27255"/>
    <w:rsid w:val="00E30205"/>
    <w:rsid w:val="00E34624"/>
    <w:rsid w:val="00E37EAE"/>
    <w:rsid w:val="00E47550"/>
    <w:rsid w:val="00E63D16"/>
    <w:rsid w:val="00E64462"/>
    <w:rsid w:val="00E6486A"/>
    <w:rsid w:val="00E74287"/>
    <w:rsid w:val="00E74E16"/>
    <w:rsid w:val="00E94997"/>
    <w:rsid w:val="00E97677"/>
    <w:rsid w:val="00EA0178"/>
    <w:rsid w:val="00EC69FC"/>
    <w:rsid w:val="00ED791B"/>
    <w:rsid w:val="00EF5E00"/>
    <w:rsid w:val="00F07A3C"/>
    <w:rsid w:val="00F108C2"/>
    <w:rsid w:val="00F143DB"/>
    <w:rsid w:val="00F24CF1"/>
    <w:rsid w:val="00F327FF"/>
    <w:rsid w:val="00F348B6"/>
    <w:rsid w:val="00F47CE5"/>
    <w:rsid w:val="00F52636"/>
    <w:rsid w:val="00F550B1"/>
    <w:rsid w:val="00F60695"/>
    <w:rsid w:val="00F64840"/>
    <w:rsid w:val="00F70EB9"/>
    <w:rsid w:val="00F76375"/>
    <w:rsid w:val="00F8018F"/>
    <w:rsid w:val="00F87B60"/>
    <w:rsid w:val="00F902F2"/>
    <w:rsid w:val="00F93B1F"/>
    <w:rsid w:val="00FD6DF8"/>
    <w:rsid w:val="00FE2FEB"/>
    <w:rsid w:val="00FE3E5E"/>
    <w:rsid w:val="00FF7886"/>
    <w:rsid w:val="2B5AC6FC"/>
    <w:rsid w:val="6AF41CAC"/>
    <w:rsid w:val="7DF7D1AD"/>
    <w:rsid w:val="AF4F2C51"/>
    <w:rsid w:val="AFDDDC8E"/>
    <w:rsid w:val="B3BF8C43"/>
    <w:rsid w:val="EFFDA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333333"/>
      <w:u w:val="none"/>
    </w:rPr>
  </w:style>
  <w:style w:type="character" w:customStyle="1" w:styleId="10">
    <w:name w:val="批注框文本 Char"/>
    <w:basedOn w:val="7"/>
    <w:link w:val="2"/>
    <w:semiHidden/>
    <w:qFormat/>
    <w:uiPriority w:val="99"/>
    <w:rPr>
      <w:sz w:val="18"/>
      <w:szCs w:val="18"/>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1122</Words>
  <Characters>6398</Characters>
  <Lines>53</Lines>
  <Paragraphs>15</Paragraphs>
  <TotalTime>993</TotalTime>
  <ScaleCrop>false</ScaleCrop>
  <LinksUpToDate>false</LinksUpToDate>
  <CharactersWithSpaces>7505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2022-08-05T08:23:00Z</dcterms:created>
  <dc:creator>DELL</dc:creator>
  <cp:lastModifiedBy>张  兵</cp:lastModifiedBy>
  <cp:lastPrinted>2023-08-09T15:14:00Z</cp:lastPrinted>
  <dcterms:modified xsi:type="dcterms:W3CDTF">2023-08-09T08:59:01Z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